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E7" w:rsidRDefault="00AB7A1A">
      <w:pPr>
        <w:pStyle w:val="2"/>
        <w:spacing w:beforeAutospacing="0" w:after="280"/>
        <w:jc w:val="center"/>
        <w:rPr>
          <w:sz w:val="32"/>
          <w:szCs w:val="32"/>
        </w:rPr>
      </w:pPr>
      <w:r>
        <w:rPr>
          <w:sz w:val="32"/>
          <w:szCs w:val="32"/>
        </w:rPr>
        <w:t>Единовременная социальная выплата на оплату приобретения внутридомового газового оборудования и оплату работ по его установке</w:t>
      </w:r>
    </w:p>
    <w:tbl>
      <w:tblPr>
        <w:tblW w:w="1064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505"/>
        <w:gridCol w:w="8142"/>
      </w:tblGrid>
      <w:tr w:rsidR="009031E7"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pStyle w:val="aa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pStyle w:val="aa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Единовременная социальная выплата на оплату приобретения внутридомового газового оборудования и оплату работ </w:t>
            </w:r>
            <w:r>
              <w:rPr>
                <w:sz w:val="28"/>
                <w:szCs w:val="28"/>
              </w:rPr>
              <w:t>по его установке</w:t>
            </w:r>
          </w:p>
        </w:tc>
      </w:tr>
      <w:tr w:rsidR="009031E7"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pStyle w:val="aa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Нормативно-правовые акты</w:t>
            </w:r>
          </w:p>
        </w:tc>
        <w:tc>
          <w:tcPr>
            <w:tcW w:w="8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pStyle w:val="aa"/>
              <w:widowControl w:val="0"/>
              <w:spacing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Челябинской области от 03.03.2021 г. № 318-ЗО «О дополнительных мерах социальной поддержки отдельных категорий граждан в связи с установкой внутридомового газового оборудования»</w:t>
            </w:r>
          </w:p>
          <w:p w:rsidR="009031E7" w:rsidRDefault="00AB7A1A">
            <w:pPr>
              <w:pStyle w:val="aa"/>
              <w:widowControl w:val="0"/>
              <w:spacing w:before="280"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 Правительства Ч</w:t>
            </w:r>
            <w:r>
              <w:rPr>
                <w:sz w:val="28"/>
                <w:szCs w:val="28"/>
              </w:rPr>
              <w:t>елябинской области от 29.06.2021 г. № 262-П «О Порядке учета граждан, указанных в статье 1 Закона Челябинской области от 03.03.2021 г. № 318-ЗО «О дополнительных мерах социальной поддержки отдельных категорий граждан в связи с установкой внутридомового газ</w:t>
            </w:r>
            <w:r>
              <w:rPr>
                <w:sz w:val="28"/>
                <w:szCs w:val="28"/>
              </w:rPr>
              <w:t>ового оборудования», выдачи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</w:t>
            </w:r>
            <w:proofErr w:type="gramEnd"/>
            <w:r>
              <w:rPr>
                <w:sz w:val="28"/>
                <w:szCs w:val="28"/>
              </w:rPr>
              <w:t xml:space="preserve"> оплату работ по его установке и предоставле</w:t>
            </w:r>
            <w:r>
              <w:rPr>
                <w:sz w:val="28"/>
                <w:szCs w:val="28"/>
              </w:rPr>
              <w:t>ния указанной выплаты»</w:t>
            </w:r>
          </w:p>
        </w:tc>
      </w:tr>
      <w:tr w:rsidR="009031E7"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pStyle w:val="aa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 заявителей</w:t>
            </w:r>
          </w:p>
        </w:tc>
        <w:tc>
          <w:tcPr>
            <w:tcW w:w="8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</w:rPr>
              <w:t>1) одиноко проживающие собственники жилых помещений, являющиеся получателями пенсии и достигшие возраста 55 и 60 лет (соответственно женщины и мужчины);</w:t>
            </w:r>
            <w:bookmarkStart w:id="0" w:name="P0009"/>
            <w:bookmarkEnd w:id="0"/>
          </w:p>
          <w:p w:rsidR="009031E7" w:rsidRDefault="00AB7A1A">
            <w:pPr>
              <w:pStyle w:val="a6"/>
              <w:spacing w:after="0"/>
              <w:jc w:val="both"/>
            </w:pPr>
            <w:bookmarkStart w:id="1" w:name="P0009_1"/>
            <w:bookmarkEnd w:id="1"/>
            <w:proofErr w:type="gram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2) семьи, признанные многодетными в соответствии с </w:t>
            </w:r>
            <w:hyperlink r:id="rId5" w:anchor="64U0IK" w:history="1">
              <w:r>
                <w:rPr>
                  <w:rStyle w:val="a3"/>
                  <w:rFonts w:ascii="Times New Roman" w:hAnsi="Times New Roman"/>
                  <w:color w:val="444444"/>
                  <w:sz w:val="28"/>
                  <w:szCs w:val="28"/>
                </w:rPr>
                <w:t>Законом Челябинской области от 31 марта 2010 года N 548-ЗО "О статусе и дополнительных мерах социальной поддержки многодетной семьи в Челябинской области"</w:t>
              </w:r>
            </w:hyperlink>
            <w:r>
              <w:rPr>
                <w:rFonts w:ascii="Times New Roman" w:hAnsi="Times New Roman"/>
                <w:color w:val="444444"/>
                <w:sz w:val="28"/>
                <w:szCs w:val="28"/>
              </w:rPr>
              <w:t>, члены (один из членов) которых являются (явля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ется) собственниками (собственником) жилых помещений;</w:t>
            </w:r>
            <w:bookmarkStart w:id="2" w:name="P000B"/>
            <w:bookmarkEnd w:id="2"/>
            <w:proofErr w:type="gramEnd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000B_1"/>
            <w:bookmarkEnd w:id="3"/>
            <w:proofErr w:type="gram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3) лица, осуществляющие уход за детьми-инвалидами, являющиеся собственниками жилых помещений, либо члены (один из членов) семьи которых являются (является) собственниками (собственником) жилых помещений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.</w:t>
            </w:r>
            <w:bookmarkStart w:id="4" w:name="P000C"/>
            <w:bookmarkEnd w:id="4"/>
            <w:proofErr w:type="gramEnd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000C_1"/>
            <w:bookmarkEnd w:id="5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лицам, осуществляющим уход за детьми-инвалидами, относятся родители, усыновители, опекуны (попечители).</w:t>
            </w:r>
            <w:bookmarkStart w:id="6" w:name="P000D"/>
            <w:bookmarkEnd w:id="6"/>
          </w:p>
          <w:p w:rsidR="009031E7" w:rsidRDefault="00AB7A1A">
            <w:pPr>
              <w:pStyle w:val="a6"/>
              <w:spacing w:after="0"/>
              <w:jc w:val="both"/>
            </w:pPr>
            <w:bookmarkStart w:id="7" w:name="P000D_1"/>
            <w:bookmarkEnd w:id="7"/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К членам семьи лица, осуществляющего уход за ребенком-инвалидом, относятся его супруг (супруга) и дети, включая детей-инвалидов, находящихся у него 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под опекой (попечительством);</w:t>
            </w:r>
            <w:bookmarkStart w:id="8" w:name="P000F"/>
            <w:bookmarkEnd w:id="8"/>
          </w:p>
          <w:p w:rsidR="009031E7" w:rsidRDefault="00AB7A1A">
            <w:pPr>
              <w:pStyle w:val="a6"/>
              <w:spacing w:after="0"/>
              <w:jc w:val="both"/>
            </w:pPr>
            <w:bookmarkStart w:id="9" w:name="P000F_1"/>
            <w:bookmarkEnd w:id="9"/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4) инвалиды II группы, среднедушевой доход семей которых не превышает двукратную величину прожиточного минимума на душу населения, установленную в соответствии с 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lastRenderedPageBreak/>
              <w:t>законодательством Челябинской области, являющиеся собственниками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жилых помещений либо членами семьи собственника (собственников) жилых помещений.</w:t>
            </w:r>
            <w:bookmarkStart w:id="10" w:name="P0011"/>
            <w:bookmarkEnd w:id="10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1" w:name="P0011_1"/>
            <w:bookmarkEnd w:id="11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 семьи собственника (собственников) жилых помещений относятся его супруга (супруг), родители и дети;</w:t>
            </w:r>
            <w:bookmarkStart w:id="12" w:name="P0014"/>
            <w:bookmarkEnd w:id="12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3" w:name="P0014_1"/>
            <w:bookmarkEnd w:id="13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5) совместно проживающие граждане, являющиеся получателями пенсии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и достигшие возраста 65 лет, которые (один из которых) являются (является) собственниками (собственником) жилых помещений.</w:t>
            </w:r>
            <w:bookmarkStart w:id="14" w:name="P0016"/>
            <w:bookmarkEnd w:id="14"/>
          </w:p>
          <w:p w:rsidR="009031E7" w:rsidRDefault="00AB7A1A">
            <w:pPr>
              <w:pStyle w:val="a6"/>
              <w:spacing w:after="0"/>
              <w:jc w:val="both"/>
            </w:pPr>
            <w:bookmarkStart w:id="15" w:name="P0016_1"/>
            <w:bookmarkEnd w:id="15"/>
            <w:proofErr w:type="gram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6) семьи граждан Российской Федерации, призванных на военную службу по мобилизации в Вооруженные Силы Российской Федерации в соответ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ствии с </w:t>
            </w:r>
            <w:hyperlink r:id="rId6" w:anchor="64S0IJ" w:history="1">
              <w:r>
                <w:rPr>
                  <w:rStyle w:val="a3"/>
                  <w:rFonts w:ascii="Times New Roman" w:hAnsi="Times New Roman"/>
                  <w:color w:val="444444"/>
                  <w:sz w:val="28"/>
                  <w:szCs w:val="28"/>
                </w:rPr>
                <w:t>Указом Президента Российской Федерации от 21 сентября 2022 года N 647 "Об объявлении частичной мобилизации в Российской Федерации"</w:t>
              </w:r>
            </w:hyperlink>
            <w:r>
              <w:rPr>
                <w:rFonts w:ascii="Times New Roman" w:hAnsi="Times New Roman"/>
                <w:color w:val="444444"/>
                <w:sz w:val="28"/>
                <w:szCs w:val="28"/>
              </w:rPr>
              <w:t> (далее - мобилизованный военнослужащий), в которых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мобилизованные военнослужащие или члены (один из членов) их семей являются (является) собственниками (собственником) жилых помещений.</w:t>
            </w:r>
            <w:bookmarkStart w:id="16" w:name="P0017"/>
            <w:bookmarkEnd w:id="16"/>
            <w:proofErr w:type="gramEnd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7" w:name="P0017_1"/>
            <w:bookmarkEnd w:id="17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 семьи мобилизованного военнослужащего относятся его супруга (супруг), родители и дети в возрасте до 18 лет.</w:t>
            </w:r>
            <w:bookmarkStart w:id="18" w:name="P0019"/>
            <w:bookmarkEnd w:id="18"/>
          </w:p>
          <w:p w:rsidR="009031E7" w:rsidRDefault="00AB7A1A">
            <w:pPr>
              <w:pStyle w:val="a6"/>
              <w:spacing w:after="0"/>
              <w:jc w:val="both"/>
            </w:pPr>
            <w:bookmarkStart w:id="19" w:name="P0019_1"/>
            <w:bookmarkEnd w:id="19"/>
            <w:proofErr w:type="gram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7) с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емьи граждан,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2022 года по 31 декабря 202</w:t>
            </w:r>
            <w:r w:rsidR="00727211">
              <w:rPr>
                <w:rFonts w:ascii="Times New Roman" w:hAnsi="Times New Roman"/>
                <w:color w:val="444444"/>
                <w:sz w:val="28"/>
                <w:szCs w:val="28"/>
              </w:rPr>
              <w:t>5</w:t>
            </w:r>
            <w:bookmarkStart w:id="20" w:name="_GoBack"/>
            <w:bookmarkEnd w:id="20"/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года для прохождения военной службы (далее в настоящем пункте - гражданин, заключивший контракт), в которых граждане, заключившие контракт, или</w:t>
            </w:r>
            <w:proofErr w:type="gramEnd"/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члены (один из членов) их семей являются (является) собственниками (собственником) 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жилых помещений.</w:t>
            </w:r>
            <w:bookmarkStart w:id="21" w:name="P001B"/>
            <w:bookmarkEnd w:id="21"/>
          </w:p>
          <w:p w:rsidR="009031E7" w:rsidRDefault="00AB7A1A">
            <w:pPr>
              <w:pStyle w:val="a6"/>
              <w:spacing w:after="0"/>
              <w:jc w:val="both"/>
            </w:pPr>
            <w:bookmarkStart w:id="22" w:name="P001B_1"/>
            <w:bookmarkEnd w:id="22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 семьи гражданина, заключившего контракт, относятся его супруга (супруг), родители и дети в возрасте до 18 лет;</w:t>
            </w:r>
            <w:bookmarkStart w:id="23" w:name="P001D"/>
            <w:bookmarkEnd w:id="23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4" w:name="P001D_1"/>
            <w:bookmarkEnd w:id="24"/>
            <w:proofErr w:type="gram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8) семьи граждан, заключивших контракт с Министерством обороны Российской Федерации для прохождения военной службы в ба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тальонах "Южный Урал" и "</w:t>
            </w:r>
            <w:proofErr w:type="spell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Южноуралец</w:t>
            </w:r>
            <w:proofErr w:type="spellEnd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", формируемых в Челябинской области для последующего участия в проведении специальной военной операции на территориях Донецкой Народной Республики, Луганской Народной Республики, Запорожской области, Херсонской области и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Украины (далее - специальная военная операция), в которых 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lastRenderedPageBreak/>
              <w:t>указанные граждане или члены (один из членов) их</w:t>
            </w:r>
            <w:proofErr w:type="gramEnd"/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семей являются (является) собственниками (собственником) жилых помещений.</w:t>
            </w:r>
            <w:bookmarkStart w:id="25" w:name="P001E"/>
            <w:bookmarkEnd w:id="25"/>
          </w:p>
          <w:p w:rsidR="009031E7" w:rsidRDefault="00AB7A1A">
            <w:pPr>
              <w:pStyle w:val="a6"/>
              <w:spacing w:after="0"/>
              <w:jc w:val="both"/>
            </w:pPr>
            <w:bookmarkStart w:id="26" w:name="P001E_1"/>
            <w:bookmarkEnd w:id="26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 семьи гражданина, заключившего контракт с Министерством обороны Р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оссийской Федерации для прохождения военной службы в батальонах "Южный Урал" и "</w:t>
            </w:r>
            <w:proofErr w:type="spell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Южноуралец</w:t>
            </w:r>
            <w:proofErr w:type="spellEnd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", формируемых в Челябинской области для последующего участия в проведении специальной военной операции, относятся его супруга (супруг), родители и дети в возрасте до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18 лет;</w:t>
            </w:r>
            <w:bookmarkStart w:id="27" w:name="P0020"/>
            <w:bookmarkEnd w:id="27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8" w:name="P0020_1"/>
            <w:bookmarkEnd w:id="28"/>
            <w:proofErr w:type="gram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9) семьи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либо умерших до истечения одного года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со дня их увольнения с военной службы (службы) вследствие увечья (ранения, травмы, контузии) или заболевания, полученных ими в результате участия в специальной военной операции (далее - погибший военнослужащий), в</w:t>
            </w:r>
            <w:proofErr w:type="gramEnd"/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которых погибшие военнослужащие на дату и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х гибели (смерти) являлись собственниками жилых помещений.</w:t>
            </w:r>
            <w:bookmarkStart w:id="29" w:name="P0021"/>
            <w:bookmarkEnd w:id="29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0" w:name="P0021_1"/>
            <w:bookmarkEnd w:id="30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 семьи погибшего военнослужащего относятся его супруга (супруг), родители и дети в возрасте до 18 лет;</w:t>
            </w:r>
            <w:bookmarkStart w:id="31" w:name="P0023"/>
            <w:bookmarkEnd w:id="31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bookmarkStart w:id="32" w:name="P0023_1"/>
            <w:bookmarkEnd w:id="32"/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10) инвалиды боевых действий, являющиеся собственниками жилых помещений либо членами 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семьи собственника (собственников) жилых помещений.</w:t>
            </w:r>
          </w:p>
          <w:p w:rsidR="009031E7" w:rsidRDefault="00AB7A1A">
            <w:pPr>
              <w:pStyle w:val="a6"/>
              <w:spacing w:after="0"/>
              <w:jc w:val="both"/>
            </w:pPr>
            <w:bookmarkStart w:id="33" w:name="P0024_1"/>
            <w:bookmarkEnd w:id="33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 семьи собственника (собственников) жилых помещений относятся его супруга (супруг), родители и дети;</w:t>
            </w:r>
            <w:bookmarkStart w:id="34" w:name="P0026"/>
            <w:bookmarkEnd w:id="34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bookmarkStart w:id="35" w:name="P0026_1"/>
            <w:bookmarkEnd w:id="35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11) ветераны боевых действий, являющиеся собственниками жилых помещений либо членами семьи собс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твенника (собственников) жилых помещений.</w:t>
            </w:r>
          </w:p>
          <w:p w:rsidR="009031E7" w:rsidRDefault="00AB7A1A">
            <w:pPr>
              <w:pStyle w:val="a6"/>
              <w:spacing w:after="0"/>
              <w:jc w:val="both"/>
            </w:pPr>
            <w:bookmarkStart w:id="36" w:name="P0027_1"/>
            <w:bookmarkEnd w:id="36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 семьи собственника (собственников) жилых помещений относятся его супруга (супруг), родители и дети;</w:t>
            </w:r>
            <w:bookmarkStart w:id="37" w:name="P0029"/>
            <w:bookmarkEnd w:id="37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8" w:name="P0029_1"/>
            <w:bookmarkEnd w:id="38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12) члены семей погибших (умерших) инвалидов боевых действий, ветеранов боевых действий, являющиеся собст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венниками жилых помещений либо членами семьи собственника (собственников) жилых помещений.</w:t>
            </w:r>
            <w:bookmarkStart w:id="39" w:name="P002A"/>
            <w:bookmarkEnd w:id="39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0" w:name="P002A_1"/>
            <w:bookmarkEnd w:id="40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 семьи собственника (собственников) жилых помещений относятся его супруга (супруг), родители и дети;</w:t>
            </w:r>
            <w:bookmarkStart w:id="41" w:name="P002C"/>
            <w:bookmarkEnd w:id="41"/>
          </w:p>
          <w:p w:rsidR="009031E7" w:rsidRDefault="00AB7A1A">
            <w:pPr>
              <w:pStyle w:val="a6"/>
              <w:spacing w:after="0"/>
              <w:jc w:val="both"/>
            </w:pPr>
            <w:bookmarkStart w:id="42" w:name="P002C_1"/>
            <w:bookmarkEnd w:id="42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13) одиноко проживающие собственники жилых помещений с д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оходом, размер которого не превышает величину прожиточного 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lastRenderedPageBreak/>
              <w:t>минимума на душу населения, установленную в соответствии с законодательством Челябинской области;</w:t>
            </w:r>
            <w:bookmarkStart w:id="43" w:name="P002E"/>
            <w:bookmarkEnd w:id="43"/>
          </w:p>
          <w:p w:rsidR="009031E7" w:rsidRDefault="00AB7A1A">
            <w:pPr>
              <w:pStyle w:val="a6"/>
              <w:spacing w:after="0"/>
              <w:jc w:val="both"/>
            </w:pPr>
            <w:bookmarkStart w:id="44" w:name="P002E_1"/>
            <w:bookmarkEnd w:id="44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14) семьи, имеющие детей в возрасте до 18 лет, со среднедушевым доходом, размер которого не превыша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ет величину прожиточного минимума 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помещений.</w:t>
            </w:r>
            <w:bookmarkStart w:id="45" w:name="P0030"/>
            <w:bookmarkEnd w:id="45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6" w:name="P0030_1"/>
            <w:bookmarkEnd w:id="46"/>
            <w:proofErr w:type="gram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15) семьи граждан, добровольно при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нимавших (принимающих) участие в специальной военной операции в составе добровольческих формирований (далее - доброволец), в которых добровольцы или члены (один и членов) их семей являются (является) собственниками (собственником) жилых помещений.</w:t>
            </w:r>
            <w:bookmarkStart w:id="47" w:name="P0032"/>
            <w:bookmarkEnd w:id="47"/>
            <w:proofErr w:type="gramEnd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8" w:name="P0032_1"/>
            <w:bookmarkEnd w:id="48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семьи добровольца относятся его супруга (супруг), родители и дети в возрасте до 18 лет.</w:t>
            </w:r>
            <w:bookmarkStart w:id="49" w:name="P0034"/>
            <w:bookmarkEnd w:id="49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0" w:name="P0034_1"/>
            <w:bookmarkEnd w:id="50"/>
            <w:proofErr w:type="gramStart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16) семьи военнослужащих, лиц, проходящих службу в войсках национальной гвардии Российской Федерации и имеющих специальное звание полиции, а также лиц из их числа, уво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ленных с военной службы, со службы в войсках национальной гвардии Российской Федерации, принимающих (принимавших) участие в специальной военной операции (далее в настоящем пункте - военнослужащие), в которых военнослужащие или члены (один из членов) их сем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ей являются (является) собственниками</w:t>
            </w:r>
            <w:proofErr w:type="gramEnd"/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(собственником) жилых помещений.</w:t>
            </w:r>
            <w:bookmarkStart w:id="51" w:name="P0035"/>
            <w:bookmarkEnd w:id="51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2" w:name="P0035_1"/>
            <w:bookmarkEnd w:id="52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 семьи военнослужащего относятся его супруга (супруг), родители и дети в возрасте до 18 лет;</w:t>
            </w:r>
            <w:bookmarkStart w:id="53" w:name="P0037"/>
            <w:bookmarkEnd w:id="53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4" w:name="P0037_1"/>
            <w:bookmarkEnd w:id="54"/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17) инвалиды I группы, являющиеся собственниками жилых помещений либо членами семьи </w:t>
            </w:r>
            <w:r>
              <w:rPr>
                <w:rFonts w:ascii="Times New Roman" w:hAnsi="Times New Roman"/>
                <w:color w:val="444444"/>
                <w:sz w:val="28"/>
                <w:szCs w:val="28"/>
              </w:rPr>
              <w:t>собственника (собственников) жилых помещений.</w:t>
            </w:r>
            <w:bookmarkStart w:id="55" w:name="P0038"/>
            <w:bookmarkEnd w:id="55"/>
          </w:p>
          <w:p w:rsidR="009031E7" w:rsidRDefault="00AB7A1A">
            <w:pPr>
              <w:pStyle w:val="a6"/>
              <w:spacing w:after="0"/>
              <w:jc w:val="both"/>
              <w:rPr>
                <w:rFonts w:ascii="Times New Roman" w:hAnsi="Times New Roman"/>
                <w:color w:val="444444"/>
                <w:sz w:val="28"/>
                <w:szCs w:val="28"/>
              </w:rPr>
            </w:pPr>
            <w:bookmarkStart w:id="56" w:name="P0038_1"/>
            <w:bookmarkEnd w:id="56"/>
            <w:r>
              <w:rPr>
                <w:rFonts w:ascii="Times New Roman" w:hAnsi="Times New Roman"/>
                <w:color w:val="444444"/>
                <w:sz w:val="28"/>
                <w:szCs w:val="28"/>
              </w:rPr>
              <w:t>К членам семьи собственника (собственников) жилых помещений относятся его супруга (супруг), родители и дети.</w:t>
            </w:r>
          </w:p>
        </w:tc>
      </w:tr>
      <w:tr w:rsidR="009031E7"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pStyle w:val="aa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необходимых документов</w:t>
            </w:r>
          </w:p>
        </w:tc>
        <w:tc>
          <w:tcPr>
            <w:tcW w:w="8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pStyle w:val="aa"/>
              <w:widowControl w:val="0"/>
              <w:spacing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заявление по форме, установленной Министерством социальных </w:t>
            </w:r>
            <w:r>
              <w:rPr>
                <w:sz w:val="28"/>
                <w:szCs w:val="28"/>
              </w:rPr>
              <w:t>отношений Челябинской области;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паспорт или иной документ, удостоверяющий личность заявителя (с приложением его копии);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выписка из Единого государственного реестра недвижимости, подтверждающая право собственности на жилое помещение;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 справки о регис</w:t>
            </w:r>
            <w:r>
              <w:rPr>
                <w:sz w:val="28"/>
                <w:szCs w:val="28"/>
              </w:rPr>
              <w:t>трации заявителя и членов его семьи по месту жительства в жилом помещении,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те</w:t>
            </w:r>
            <w:r>
              <w:rPr>
                <w:sz w:val="28"/>
                <w:szCs w:val="28"/>
              </w:rPr>
              <w:t>хнические условия на подключение (технологическое присоединение) объектов капитального строительства к сетям газораспределения, выданные газораспределительной организацией;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документы, удостоверяющие личность и полномочия представителя гражданина (в случ</w:t>
            </w:r>
            <w:r>
              <w:rPr>
                <w:sz w:val="28"/>
                <w:szCs w:val="28"/>
              </w:rPr>
              <w:t>ае подачи заявления от имени гражданина его представителем);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документы, подтверждающие отнесение заявителя к категориям, имеющим право на выплату: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удостоверение либо справка о получении пенсии, выданная органом, осуществляющим назначение и вы</w:t>
            </w:r>
            <w:r>
              <w:rPr>
                <w:sz w:val="28"/>
                <w:szCs w:val="28"/>
              </w:rPr>
              <w:t>плату пенсии (для заявителей, указанных в пунктах 1, 5 раздела «Круг заявителей»);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многодетной семьи (для лиц, указанных в пункте 2 раздела «Круг заявителей»);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инвалидности, содержащиеся в федеральной государственной информационно</w:t>
            </w:r>
            <w:r>
              <w:rPr>
                <w:sz w:val="28"/>
                <w:szCs w:val="28"/>
              </w:rPr>
              <w:t>й системе «Федеральный реестр инвалидов», а в случае отсутствия соответствующих сведений в федеральной государственной информационной системе «Федеральный реестр инвалидов» - справка об установлении инвалидности, выдаваемая федеральным государственным учре</w:t>
            </w:r>
            <w:r>
              <w:rPr>
                <w:sz w:val="28"/>
                <w:szCs w:val="28"/>
              </w:rPr>
              <w:t xml:space="preserve">ждением </w:t>
            </w:r>
            <w:proofErr w:type="gramStart"/>
            <w:r>
              <w:rPr>
                <w:sz w:val="28"/>
                <w:szCs w:val="28"/>
              </w:rPr>
              <w:t>медико-социальной</w:t>
            </w:r>
            <w:proofErr w:type="gramEnd"/>
            <w:r>
              <w:rPr>
                <w:sz w:val="28"/>
                <w:szCs w:val="28"/>
              </w:rPr>
              <w:t xml:space="preserve"> экспертизы (для лиц указанных в пункте 3, 4 раздела «Круг заявителей»);</w:t>
            </w:r>
          </w:p>
          <w:p w:rsidR="009031E7" w:rsidRDefault="00AB7A1A">
            <w:pPr>
              <w:pStyle w:val="aa"/>
              <w:widowControl w:val="0"/>
              <w:spacing w:before="280"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сведения о доходах всех членов семьи за шесть месяцев, предшествующих четырем календарным месяцам перед месяцем обращения для постановки на учет в целях предо</w:t>
            </w:r>
            <w:r>
              <w:rPr>
                <w:sz w:val="28"/>
                <w:szCs w:val="28"/>
              </w:rPr>
              <w:t>ставления единовременной социальной выплаты  определенных 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одного проживающего гражданина дл</w:t>
            </w:r>
            <w:r>
              <w:rPr>
                <w:sz w:val="28"/>
                <w:szCs w:val="28"/>
              </w:rPr>
              <w:t>я оказания им государственной социальной помощи» (для граждан</w:t>
            </w:r>
            <w:proofErr w:type="gramEnd"/>
            <w:r>
              <w:rPr>
                <w:sz w:val="28"/>
                <w:szCs w:val="28"/>
              </w:rPr>
              <w:t xml:space="preserve">, указанных в пункте 2, 3 и 4 раздела «Круг заявителей»). </w:t>
            </w:r>
            <w:proofErr w:type="gramStart"/>
            <w:r>
              <w:rPr>
                <w:sz w:val="28"/>
                <w:szCs w:val="28"/>
              </w:rPr>
              <w:t xml:space="preserve">Среднедушевой доход семьи для постановки на учет в целях предоставления единовременной </w:t>
            </w:r>
            <w:r>
              <w:rPr>
                <w:sz w:val="28"/>
                <w:szCs w:val="28"/>
              </w:rPr>
              <w:lastRenderedPageBreak/>
              <w:t xml:space="preserve">социальной выплаты рассчитывается исходя из суммы </w:t>
            </w:r>
            <w:r>
              <w:rPr>
                <w:sz w:val="28"/>
                <w:szCs w:val="28"/>
              </w:rPr>
              <w:t>доходов всех членов семьи за последние шесть календарных месяцев (в том числе в случае предоставления документов (сведений) о доходах семьи за период менее шести месяцев), предшествующих четырем календарным месяцам перед месяцем обращения постановки на уче</w:t>
            </w:r>
            <w:r>
              <w:rPr>
                <w:sz w:val="28"/>
                <w:szCs w:val="28"/>
              </w:rPr>
              <w:t>т путем деление одной шестой суммы доходов всех членов</w:t>
            </w:r>
            <w:proofErr w:type="gramEnd"/>
            <w:r>
              <w:rPr>
                <w:sz w:val="28"/>
                <w:szCs w:val="28"/>
              </w:rPr>
              <w:t xml:space="preserve"> семьи за расчетный период на число членов семьи.</w:t>
            </w:r>
          </w:p>
        </w:tc>
      </w:tr>
      <w:tr w:rsidR="009031E7">
        <w:trPr>
          <w:trHeight w:val="1125"/>
        </w:trPr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pStyle w:val="aa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Основания для отказа в предоставлении услуги</w:t>
            </w:r>
          </w:p>
        </w:tc>
        <w:tc>
          <w:tcPr>
            <w:tcW w:w="8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pStyle w:val="aa"/>
              <w:widowControl w:val="0"/>
              <w:spacing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непредставление (неполное представление) документов и (или) нарушение срока их представления;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представление документов, содержащих сведения, не соответствующие действительности, либо наличие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</w:t>
            </w:r>
            <w:r>
              <w:rPr>
                <w:sz w:val="28"/>
                <w:szCs w:val="28"/>
              </w:rPr>
              <w:t xml:space="preserve"> отчестве, дате и месте рождения);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несоответствие гражданина, претендующего на получение единовременной социальной выплаты, категориям граждан, имеющим право на выплату (указанным в разделе «Круг заявителей»);</w:t>
            </w:r>
          </w:p>
          <w:p w:rsidR="009031E7" w:rsidRDefault="00AB7A1A">
            <w:pPr>
              <w:pStyle w:val="aa"/>
              <w:widowControl w:val="0"/>
              <w:spacing w:before="280"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отсутствие технических условий, выданных</w:t>
            </w:r>
            <w:r>
              <w:rPr>
                <w:sz w:val="28"/>
                <w:szCs w:val="28"/>
              </w:rPr>
              <w:t xml:space="preserve"> газораспределительной организацией;</w:t>
            </w:r>
          </w:p>
          <w:p w:rsidR="009031E7" w:rsidRDefault="00AB7A1A">
            <w:pPr>
              <w:pStyle w:val="aa"/>
              <w:widowControl w:val="0"/>
              <w:spacing w:before="28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заключение договора на поставку газа до момента подачи заявления о постановке на учет.</w:t>
            </w:r>
          </w:p>
        </w:tc>
      </w:tr>
      <w:tr w:rsidR="009031E7">
        <w:trPr>
          <w:trHeight w:val="1125"/>
        </w:trPr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размер</w:t>
            </w:r>
          </w:p>
        </w:tc>
        <w:tc>
          <w:tcPr>
            <w:tcW w:w="8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31E7" w:rsidRDefault="00AB7A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тысяч рублей;</w:t>
            </w:r>
          </w:p>
          <w:p w:rsidR="009031E7" w:rsidRDefault="00AB7A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участников СВО — 200 тысяч рублей.</w:t>
            </w:r>
          </w:p>
        </w:tc>
      </w:tr>
    </w:tbl>
    <w:p w:rsidR="009031E7" w:rsidRDefault="009031E7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E7" w:rsidRDefault="009031E7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E7" w:rsidRDefault="009031E7">
      <w:pPr>
        <w:jc w:val="center"/>
      </w:pPr>
    </w:p>
    <w:p w:rsidR="009031E7" w:rsidRDefault="009031E7">
      <w:pPr>
        <w:jc w:val="center"/>
      </w:pPr>
    </w:p>
    <w:p w:rsidR="009031E7" w:rsidRDefault="009031E7">
      <w:pPr>
        <w:jc w:val="center"/>
      </w:pPr>
    </w:p>
    <w:p w:rsidR="009031E7" w:rsidRDefault="009031E7">
      <w:pPr>
        <w:jc w:val="center"/>
      </w:pPr>
    </w:p>
    <w:p w:rsidR="009031E7" w:rsidRDefault="009031E7">
      <w:pPr>
        <w:jc w:val="center"/>
      </w:pPr>
    </w:p>
    <w:p w:rsidR="009031E7" w:rsidRDefault="009031E7">
      <w:pPr>
        <w:jc w:val="center"/>
      </w:pPr>
    </w:p>
    <w:p w:rsidR="009031E7" w:rsidRDefault="009031E7">
      <w:pPr>
        <w:jc w:val="center"/>
      </w:pPr>
    </w:p>
    <w:p w:rsidR="009031E7" w:rsidRDefault="009031E7">
      <w:pPr>
        <w:jc w:val="center"/>
      </w:pPr>
    </w:p>
    <w:p w:rsidR="009031E7" w:rsidRDefault="009031E7">
      <w:pPr>
        <w:jc w:val="center"/>
      </w:pPr>
    </w:p>
    <w:p w:rsidR="009031E7" w:rsidRDefault="009031E7">
      <w:pPr>
        <w:jc w:val="center"/>
      </w:pPr>
    </w:p>
    <w:p w:rsidR="009031E7" w:rsidRDefault="009031E7">
      <w:pPr>
        <w:jc w:val="center"/>
      </w:pPr>
    </w:p>
    <w:sectPr w:rsidR="009031E7">
      <w:pgSz w:w="11906" w:h="16838"/>
      <w:pgMar w:top="1134" w:right="567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E7"/>
    <w:rsid w:val="00727211"/>
    <w:rsid w:val="009031E7"/>
    <w:rsid w:val="00A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284FD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84F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84F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A20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284F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284FD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84F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84F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A20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284F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809307" TargetMode="External"/><Relationship Id="rId5" Type="http://schemas.openxmlformats.org/officeDocument/2006/relationships/hyperlink" Target="https://docs.cntd.ru/document/895247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2</cp:revision>
  <cp:lastPrinted>2021-03-26T05:56:00Z</cp:lastPrinted>
  <dcterms:created xsi:type="dcterms:W3CDTF">2025-08-07T04:21:00Z</dcterms:created>
  <dcterms:modified xsi:type="dcterms:W3CDTF">2025-08-07T04:21:00Z</dcterms:modified>
  <dc:language>ru-RU</dc:language>
</cp:coreProperties>
</file>